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水利水电工程施工企业主要负责人安全生产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考核合格证书延续申请表（格式）</w:t>
      </w: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61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  <w:t>近3年安全生产教育培训情况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培训部门/单位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培训内容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培训起止时间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水利水电工程建设经历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建设单位名称及联系方式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overflowPunct w:val="0"/>
        <w:snapToGrid w:val="0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15FE6284"/>
    <w:rsid w:val="15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2022-10-26T06:11:00Z</dcterms:created>
  <dc:creator>一梦ヅ少年蓝</dc:creator>
  <cp:lastModifiedBy>一梦ヅ少年蓝</cp:lastModifiedBy>
  <dcterms:modified xsi:type="dcterms:W3CDTF">2022-10-26T06:11:36Z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F7FF76B4CA2E49129BACB0ED0DE9E51E</vt:lpwstr>
  </property>
</Properties>
</file>