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6498" w14:textId="77777777" w:rsidR="00E44968" w:rsidRDefault="00E44968" w:rsidP="00E44968">
      <w:pPr>
        <w:spacing w:line="580" w:lineRule="exact"/>
        <w:ind w:leftChars="-50" w:left="-105" w:rightChars="-50" w:right="-105"/>
        <w:rPr>
          <w:rFonts w:ascii="黑体" w:eastAsia="黑体" w:hAnsi="黑体"/>
          <w:sz w:val="30"/>
          <w:szCs w:val="30"/>
        </w:rPr>
      </w:pPr>
      <w:r>
        <w:rPr>
          <w:rFonts w:ascii="黑体" w:eastAsia="黑体" w:hAnsi="黑体" w:hint="eastAsia"/>
          <w:sz w:val="30"/>
          <w:szCs w:val="30"/>
        </w:rPr>
        <w:t>附件5  行政许可流程图</w:t>
      </w:r>
    </w:p>
    <w:p w14:paraId="11A900E6" w14:textId="77777777" w:rsidR="00E44968" w:rsidRDefault="00E44968" w:rsidP="00E44968">
      <w:pPr>
        <w:jc w:val="center"/>
        <w:rPr>
          <w:rFonts w:ascii="黑体" w:eastAsia="黑体" w:hAnsi="黑体"/>
          <w:sz w:val="32"/>
          <w:szCs w:val="32"/>
        </w:rPr>
      </w:pPr>
      <w:r>
        <w:rPr>
          <w:rFonts w:ascii="黑体" w:eastAsia="黑体" w:hAnsi="黑体" w:hint="eastAsia"/>
          <w:sz w:val="32"/>
          <w:szCs w:val="32"/>
        </w:rPr>
        <w:t>行政许可流程图</w:t>
      </w:r>
    </w:p>
    <w:p w14:paraId="1B943DB1" w14:textId="77777777" w:rsidR="00E44968" w:rsidRDefault="00E44968" w:rsidP="00E44968">
      <w:pPr>
        <w:jc w:val="center"/>
        <w:rPr>
          <w:rFonts w:ascii="黑体" w:eastAsia="黑体" w:hAnsi="黑体"/>
          <w:szCs w:val="21"/>
        </w:rPr>
      </w:pPr>
      <w:r>
        <w:rPr>
          <w:rFonts w:hint="eastAsia"/>
        </w:rPr>
        <w:object w:dxaOrig="8097" w:dyaOrig="9972" w14:anchorId="4AFCB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8.75pt" o:ole="">
            <v:imagedata r:id="rId6" o:title=""/>
            <o:lock v:ext="edit" aspectratio="f"/>
          </v:shape>
          <o:OLEObject Type="Embed" ProgID="Visio.Drawing.11" ShapeID="_x0000_i1025" DrawAspect="Content" ObjectID="_1664955133" r:id="rId7"/>
        </w:object>
      </w:r>
    </w:p>
    <w:p w14:paraId="210F6361" w14:textId="77777777" w:rsidR="00E44968" w:rsidRDefault="00E44968" w:rsidP="00E44968">
      <w:pPr>
        <w:rPr>
          <w:rFonts w:ascii="仿宋" w:eastAsia="仿宋" w:hAnsi="仿宋" w:cs="仿宋"/>
          <w:sz w:val="18"/>
          <w:szCs w:val="18"/>
        </w:rPr>
      </w:pPr>
      <w:r>
        <w:rPr>
          <w:rFonts w:ascii="仿宋" w:eastAsia="仿宋" w:hAnsi="仿宋" w:cs="仿宋" w:hint="eastAsia"/>
          <w:sz w:val="18"/>
          <w:szCs w:val="18"/>
        </w:rPr>
        <w:t>1.备注：①申请材料不齐全；申请材料不符合法定形式；接收材料5日内告知补正②申请事项依法不需要取得行政许可（不受理）；申请事项不属于各流域机构法定职权范围或者具备依法不得提出行政许可情况的（不予受理）③申请事项属于各流域机构职权范围；申请材料完整、齐全（含补正后）；申请材料符合法定形式④取水许可45日，长江河道采砂许可30日，其他许可项目20日，以上日期均指工作日。</w:t>
      </w:r>
    </w:p>
    <w:p w14:paraId="66643CEE" w14:textId="77777777" w:rsidR="00E44968" w:rsidRDefault="00E44968" w:rsidP="00E44968">
      <w:pPr>
        <w:rPr>
          <w:rFonts w:ascii="仿宋" w:eastAsia="仿宋" w:hAnsi="仿宋" w:cs="仿宋"/>
          <w:sz w:val="18"/>
          <w:szCs w:val="18"/>
        </w:rPr>
      </w:pPr>
      <w:r>
        <w:rPr>
          <w:rFonts w:ascii="仿宋" w:eastAsia="仿宋" w:hAnsi="仿宋" w:cs="仿宋" w:hint="eastAsia"/>
          <w:sz w:val="18"/>
          <w:szCs w:val="18"/>
        </w:rPr>
        <w:t>2.听证说明：取水许可审查过程中，审批机关认为需要听证的，或者申请人、利害关系人要求听证的，应当组织听证。</w:t>
      </w:r>
    </w:p>
    <w:p w14:paraId="2E82553F" w14:textId="77777777" w:rsidR="00E44968" w:rsidRDefault="00E44968" w:rsidP="00E44968">
      <w:pPr>
        <w:rPr>
          <w:sz w:val="18"/>
          <w:szCs w:val="18"/>
        </w:rPr>
      </w:pPr>
      <w:r>
        <w:rPr>
          <w:rFonts w:ascii="仿宋" w:eastAsia="仿宋" w:hAnsi="仿宋" w:cs="仿宋" w:hint="eastAsia"/>
          <w:sz w:val="18"/>
          <w:szCs w:val="18"/>
        </w:rPr>
        <w:t>3.程序说明：对于新申请、重新申请的，适用全部工作流程；对于申请延续取水、变更、依申请注销的，受理后直接进入经办部门起草审批文件流程，无需经过组织专家评审或技术审查相关工作流程。</w:t>
      </w:r>
    </w:p>
    <w:p w14:paraId="366CDAD0" w14:textId="77777777" w:rsidR="001D0E72" w:rsidRPr="00E44968" w:rsidRDefault="001D0E72"/>
    <w:sectPr w:rsidR="001D0E72" w:rsidRPr="00E44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9C8C" w14:textId="77777777" w:rsidR="001C7FB3" w:rsidRDefault="001C7FB3" w:rsidP="00E44968">
      <w:r>
        <w:separator/>
      </w:r>
    </w:p>
  </w:endnote>
  <w:endnote w:type="continuationSeparator" w:id="0">
    <w:p w14:paraId="653ED0AB" w14:textId="77777777" w:rsidR="001C7FB3" w:rsidRDefault="001C7FB3" w:rsidP="00E4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0E74" w14:textId="77777777" w:rsidR="001C7FB3" w:rsidRDefault="001C7FB3" w:rsidP="00E44968">
      <w:r>
        <w:separator/>
      </w:r>
    </w:p>
  </w:footnote>
  <w:footnote w:type="continuationSeparator" w:id="0">
    <w:p w14:paraId="564CBDDA" w14:textId="77777777" w:rsidR="001C7FB3" w:rsidRDefault="001C7FB3" w:rsidP="00E44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F8"/>
    <w:rsid w:val="001341F8"/>
    <w:rsid w:val="001C7FB3"/>
    <w:rsid w:val="001D0E72"/>
    <w:rsid w:val="00E4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6B9F6-320B-4680-A7BB-1BA36A1D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968"/>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9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4968"/>
    <w:rPr>
      <w:sz w:val="18"/>
      <w:szCs w:val="18"/>
    </w:rPr>
  </w:style>
  <w:style w:type="paragraph" w:styleId="a5">
    <w:name w:val="footer"/>
    <w:basedOn w:val="a"/>
    <w:link w:val="a6"/>
    <w:uiPriority w:val="99"/>
    <w:unhideWhenUsed/>
    <w:rsid w:val="00E449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49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2020-10-23T02:46:00Z</dcterms:created>
  <dcterms:modified xsi:type="dcterms:W3CDTF">2020-10-23T02:46:00Z</dcterms:modified>
</cp:coreProperties>
</file>