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1" w:rsidRDefault="005A4BF1" w:rsidP="005A4B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A4BF1" w:rsidRDefault="005A4BF1" w:rsidP="005A4B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常见错误、常见问题及解答</w:t>
      </w:r>
    </w:p>
    <w:p w:rsidR="005A4BF1" w:rsidRDefault="005A4BF1" w:rsidP="005A4BF1">
      <w:pPr>
        <w:spacing w:line="580" w:lineRule="exact"/>
        <w:ind w:firstLineChars="200" w:firstLine="640"/>
        <w:rPr>
          <w:rFonts w:ascii="黑体" w:eastAsia="黑体" w:hAnsi="黑体" w:cs="黑体"/>
        </w:rPr>
      </w:pPr>
    </w:p>
    <w:p w:rsidR="005A4BF1" w:rsidRDefault="005A4BF1" w:rsidP="005A4BF1">
      <w:pPr>
        <w:spacing w:line="58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一、常见错误（长江河道采砂许可申请）：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1.申请人未按照《申请材料目录》提供齐全完整的申请材料。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2.申请人提供的采砂船只和从业人员的海事部门有关手续，与实际不符。</w:t>
      </w:r>
    </w:p>
    <w:p w:rsidR="005A4BF1" w:rsidRDefault="005A4BF1" w:rsidP="005A4BF1">
      <w:pPr>
        <w:spacing w:line="580" w:lineRule="exact"/>
        <w:ind w:firstLineChars="200" w:firstLine="640"/>
        <w:rPr>
          <w:rFonts w:ascii="黑体" w:eastAsia="黑体" w:hAnsi="黑体" w:cs="黑体"/>
        </w:rPr>
      </w:pPr>
      <w:r>
        <w:rPr>
          <w:rFonts w:ascii="仿宋_GB2312" w:hAnsi="仿宋_GB2312" w:cs="仿宋_GB2312" w:hint="eastAsia"/>
        </w:rPr>
        <w:t>3.申请人填报的申请开采具体位置未填写控制点坐标。</w:t>
      </w:r>
    </w:p>
    <w:p w:rsidR="005A4BF1" w:rsidRDefault="005A4BF1" w:rsidP="005A4BF1">
      <w:pPr>
        <w:spacing w:line="58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二、常见问题及解答（长江河道采砂许可）：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1.问:申请在长江干流河道采砂应由哪个部门审批？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答：根据有关规定，申请在省际边界重点河段采砂，或因整修长江堤防进行吹填固基或者整治长江河道采砂，由水利部长江水利委员会审批。申请在长江干流其他河道范围内采砂，由有关省、直辖市人民政府水行政主管部门审批。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2.问：申请从事长江河道采砂的采砂船的采砂功率是否有要求?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答：根据《长江河道采砂管理条例实施办法》第十六条规定：采砂设备功率不超过1250kw。</w:t>
      </w:r>
    </w:p>
    <w:p w:rsidR="005A4BF1" w:rsidRDefault="005A4BF1" w:rsidP="005A4BF1">
      <w:pPr>
        <w:spacing w:line="580" w:lineRule="exact"/>
        <w:ind w:firstLineChars="200" w:firstLine="640"/>
        <w:rPr>
          <w:rFonts w:ascii="仿宋_GB2312" w:hAnsi="仿宋_GB2312" w:cs="仿宋_GB2312"/>
        </w:rPr>
      </w:pPr>
    </w:p>
    <w:p w:rsidR="00EF1196" w:rsidRPr="005A4BF1" w:rsidRDefault="00EF1196">
      <w:bookmarkStart w:id="0" w:name="_GoBack"/>
      <w:bookmarkEnd w:id="0"/>
    </w:p>
    <w:sectPr w:rsidR="00EF1196" w:rsidRPr="005A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39" w:rsidRDefault="00206A39" w:rsidP="005A4BF1">
      <w:r>
        <w:separator/>
      </w:r>
    </w:p>
  </w:endnote>
  <w:endnote w:type="continuationSeparator" w:id="0">
    <w:p w:rsidR="00206A39" w:rsidRDefault="00206A39" w:rsidP="005A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39" w:rsidRDefault="00206A39" w:rsidP="005A4BF1">
      <w:r>
        <w:separator/>
      </w:r>
    </w:p>
  </w:footnote>
  <w:footnote w:type="continuationSeparator" w:id="0">
    <w:p w:rsidR="00206A39" w:rsidRDefault="00206A39" w:rsidP="005A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6D"/>
    <w:rsid w:val="00206A39"/>
    <w:rsid w:val="004C016D"/>
    <w:rsid w:val="005A4BF1"/>
    <w:rsid w:val="00E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C3AE6-3E1B-4B37-8FCE-99A7872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F1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BF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张志鹏</dc:creator>
  <cp:keywords/>
  <dc:description/>
  <cp:lastModifiedBy>张志鹏</cp:lastModifiedBy>
  <cp:revision>2</cp:revision>
  <dcterms:created xsi:type="dcterms:W3CDTF">2021-08-30T08:40:00Z</dcterms:created>
  <dcterms:modified xsi:type="dcterms:W3CDTF">2021-08-30T08:40:00Z</dcterms:modified>
</cp:coreProperties>
</file>