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行政许可流程图</w:t>
      </w:r>
    </w:p>
    <w:p>
      <w:pPr>
        <w:jc w:val="center"/>
        <w:rPr>
          <w:rFonts w:ascii="黑体" w:hAnsi="黑体" w:eastAsia="黑体"/>
          <w:szCs w:val="21"/>
        </w:rPr>
      </w:pPr>
      <w:r>
        <w:rPr>
          <w:rFonts w:hint="eastAsia"/>
        </w:rPr>
        <w:object>
          <v:shape id="_x0000_i1025" o:spt="75" type="#_x0000_t75" style="height:552.6pt;width:396.45pt;" o:ole="t" filled="f" o:preferrelative="t" stroked="f" coordsize="21600,21600">
            <v:path/>
            <v:fill on="f" focussize="0,0"/>
            <v:stroke on="f" joinstyle="miter"/>
            <v:imagedata r:id="rId4" o:title=""/>
            <o:lock v:ext="edit" aspectratio="f"/>
            <w10:wrap type="none"/>
            <w10:anchorlock/>
          </v:shape>
          <o:OLEObject Type="Embed" ProgID="Visio.Drawing.11" ShapeID="_x0000_i1025" DrawAspect="Content" ObjectID="_1468075725">
            <o:LockedField>false</o:LockedField>
          </o:OLEObject>
        </w:object>
      </w:r>
    </w:p>
    <w:p>
      <w:pPr>
        <w:rPr>
          <w:rFonts w:ascii="仿宋" w:hAnsi="仿宋" w:eastAsia="仿宋" w:cs="仿宋"/>
          <w:sz w:val="18"/>
          <w:szCs w:val="18"/>
        </w:rPr>
      </w:pPr>
      <w:r>
        <w:rPr>
          <w:rFonts w:hint="eastAsia" w:ascii="仿宋" w:hAnsi="仿宋" w:eastAsia="仿宋" w:cs="仿宋"/>
          <w:sz w:val="18"/>
          <w:szCs w:val="18"/>
        </w:rPr>
        <w:t>备注：①申请材料不齐全；申请材料不符合法定形式；接收材料5日内告知补正②申请事项依法不需要取得行政许可（不受理）；申请事项不属于各流域机构法定职权范围或者具备依法不得提出行政许可情况的（不予受理）③申请事项属于各流域机构职权范围；申请材料完整、齐全（含补正后）；申请材料符合法定形式④取水许可45日，长江河道采砂许可30日，其他许可项目20日，以上日期均指工作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21638"/>
    <w:rsid w:val="2892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2019-11-27T02:50:00Z</dcterms:created>
  <dc:creator>Administrator</dc:creator>
  <cp:lastModifiedBy>Administrator</cp:lastModifiedBy>
  <dcterms:modified xsi:type="dcterms:W3CDTF">2019-11-27T02:51:04Z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